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DE8F72" w14:textId="69CA1380" w:rsidR="00C10884" w:rsidRDefault="00C10884" w:rsidP="00C10884">
      <w:pPr>
        <w:rPr>
          <w:sz w:val="20"/>
        </w:rPr>
      </w:pPr>
      <w:r>
        <w:rPr>
          <w:noProof/>
        </w:rPr>
        <w:drawing>
          <wp:anchor distT="0" distB="0" distL="114300" distR="114300" simplePos="0" relativeHeight="251658240" behindDoc="0" locked="0" layoutInCell="1" allowOverlap="1" wp14:anchorId="085B0FF0" wp14:editId="05D7A6CD">
            <wp:simplePos x="0" y="0"/>
            <wp:positionH relativeFrom="column">
              <wp:posOffset>0</wp:posOffset>
            </wp:positionH>
            <wp:positionV relativeFrom="paragraph">
              <wp:posOffset>0</wp:posOffset>
            </wp:positionV>
            <wp:extent cx="552450" cy="925727"/>
            <wp:effectExtent l="0" t="0" r="0" b="8255"/>
            <wp:wrapSquare wrapText="bothSides"/>
            <wp:docPr id="1" name="Image 4" descr="vd_logo_noir_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vd_logo_noir_36mm"/>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2450" cy="925727"/>
                    </a:xfrm>
                    <a:prstGeom prst="rect">
                      <a:avLst/>
                    </a:prstGeom>
                    <a:noFill/>
                    <a:ln>
                      <a:noFill/>
                    </a:ln>
                  </pic:spPr>
                </pic:pic>
              </a:graphicData>
            </a:graphic>
            <wp14:sizeRelH relativeFrom="page">
              <wp14:pctWidth>0</wp14:pctWidth>
            </wp14:sizeRelH>
            <wp14:sizeRelV relativeFrom="page">
              <wp14:pctHeight>0</wp14:pctHeight>
            </wp14:sizeRelV>
          </wp:anchor>
        </w:drawing>
      </w:r>
      <w:r w:rsidRPr="00223EAE">
        <w:rPr>
          <w:sz w:val="20"/>
        </w:rPr>
        <w:t>Direction générale du territoire et du logement (DGTL)</w:t>
      </w:r>
    </w:p>
    <w:p w14:paraId="2931E973" w14:textId="77777777" w:rsidR="00C10884" w:rsidRPr="00BA5943" w:rsidRDefault="00C10884" w:rsidP="00C10884">
      <w:pPr>
        <w:rPr>
          <w:b/>
          <w:sz w:val="20"/>
          <w:szCs w:val="12"/>
        </w:rPr>
      </w:pPr>
    </w:p>
    <w:p w14:paraId="7AD59CDE" w14:textId="77777777" w:rsidR="00C10884" w:rsidRPr="00DB79D9" w:rsidRDefault="00C10884" w:rsidP="00C10884">
      <w:pPr>
        <w:rPr>
          <w:b/>
          <w:sz w:val="20"/>
        </w:rPr>
      </w:pPr>
      <w:r>
        <w:rPr>
          <w:b/>
          <w:sz w:val="20"/>
        </w:rPr>
        <w:t>Centrale des autorisations (CAMAC)</w:t>
      </w:r>
    </w:p>
    <w:p w14:paraId="6FEFE469" w14:textId="77777777" w:rsidR="00C10884" w:rsidRPr="00BA5943" w:rsidRDefault="00C10884" w:rsidP="00C10884">
      <w:pPr>
        <w:rPr>
          <w:sz w:val="20"/>
          <w:szCs w:val="12"/>
        </w:rPr>
      </w:pPr>
    </w:p>
    <w:p w14:paraId="72F7CF90" w14:textId="77777777" w:rsidR="00C10884" w:rsidRDefault="00C10884" w:rsidP="00C10884">
      <w:pPr>
        <w:rPr>
          <w:rFonts w:eastAsia="Times New Roman" w:cs="Times New Roman"/>
          <w:noProof/>
          <w:color w:val="000000"/>
          <w:sz w:val="18"/>
          <w:szCs w:val="18"/>
          <w:lang w:eastAsia="fr-CH"/>
        </w:rPr>
      </w:pPr>
      <w:r>
        <w:rPr>
          <w:rFonts w:eastAsia="Times New Roman" w:cs="Times New Roman"/>
          <w:noProof/>
          <w:color w:val="000000"/>
          <w:sz w:val="18"/>
          <w:szCs w:val="18"/>
          <w:lang w:eastAsia="fr-CH"/>
        </w:rPr>
        <w:t>Av. de l’Université 5</w:t>
      </w:r>
    </w:p>
    <w:p w14:paraId="5109D022" w14:textId="789B256D" w:rsidR="00C10884" w:rsidRDefault="00C10884" w:rsidP="00C10884">
      <w:pPr>
        <w:rPr>
          <w:sz w:val="20"/>
        </w:rPr>
      </w:pPr>
      <w:r>
        <w:rPr>
          <w:sz w:val="20"/>
        </w:rPr>
        <w:t xml:space="preserve">1014 Lausanne </w:t>
      </w:r>
    </w:p>
    <w:p w14:paraId="589A63EA" w14:textId="77777777" w:rsidR="009440CD" w:rsidRPr="0017269D" w:rsidRDefault="009440CD">
      <w:pPr>
        <w:rPr>
          <w:b/>
          <w:bCs/>
        </w:rPr>
      </w:pPr>
    </w:p>
    <w:p w14:paraId="64F8F3D1" w14:textId="46F6A089" w:rsidR="0017269D" w:rsidRDefault="0017269D" w:rsidP="00170801">
      <w:pPr>
        <w:ind w:left="851"/>
        <w:rPr>
          <w:b/>
          <w:bCs/>
          <w:sz w:val="28"/>
          <w:szCs w:val="28"/>
        </w:rPr>
      </w:pPr>
    </w:p>
    <w:p w14:paraId="0F429B9B" w14:textId="77777777" w:rsidR="00170801" w:rsidRDefault="00170801" w:rsidP="00170801">
      <w:pPr>
        <w:ind w:left="851"/>
        <w:rPr>
          <w:b/>
          <w:bCs/>
          <w:sz w:val="28"/>
          <w:szCs w:val="28"/>
        </w:rPr>
      </w:pPr>
    </w:p>
    <w:p w14:paraId="31F680A0" w14:textId="46B88621" w:rsidR="00A47021" w:rsidRPr="00B255B5" w:rsidRDefault="00A47021" w:rsidP="00A47021">
      <w:pPr>
        <w:ind w:left="851"/>
        <w:rPr>
          <w:b/>
          <w:bCs/>
          <w:sz w:val="32"/>
          <w:szCs w:val="32"/>
        </w:rPr>
      </w:pPr>
      <w:r w:rsidRPr="00A47021">
        <w:rPr>
          <w:b/>
          <w:sz w:val="36"/>
          <w:szCs w:val="24"/>
        </w:rPr>
        <w:t xml:space="preserve">Le </w:t>
      </w:r>
      <w:r w:rsidR="006D6B72" w:rsidRPr="00BA5943">
        <w:rPr>
          <w:b/>
          <w:sz w:val="36"/>
          <w:szCs w:val="24"/>
        </w:rPr>
        <w:t xml:space="preserve">questionnaire particulier </w:t>
      </w:r>
      <w:r w:rsidRPr="00A47021">
        <w:rPr>
          <w:b/>
          <w:sz w:val="36"/>
          <w:szCs w:val="24"/>
        </w:rPr>
        <w:t>75</w:t>
      </w:r>
      <w:r w:rsidRPr="00A47021">
        <w:rPr>
          <w:b/>
          <w:bCs/>
          <w:sz w:val="32"/>
          <w:szCs w:val="32"/>
        </w:rPr>
        <w:t xml:space="preserve"> « </w:t>
      </w:r>
      <w:r w:rsidRPr="00A47021">
        <w:rPr>
          <w:b/>
          <w:bCs/>
          <w:i/>
          <w:iCs/>
          <w:sz w:val="32"/>
          <w:szCs w:val="32"/>
        </w:rPr>
        <w:t>Nouvelle installation, transformation ou extension d'installation de refroidissement, de climatisation ou de pompe à chaleur contenant des fluides réfrigérants stables dans l'air</w:t>
      </w:r>
      <w:r w:rsidRPr="00A47021">
        <w:rPr>
          <w:b/>
          <w:bCs/>
          <w:sz w:val="32"/>
          <w:szCs w:val="32"/>
        </w:rPr>
        <w:t xml:space="preserve"> » </w:t>
      </w:r>
      <w:r w:rsidRPr="00A47021">
        <w:rPr>
          <w:b/>
          <w:bCs/>
          <w:sz w:val="36"/>
          <w:szCs w:val="36"/>
        </w:rPr>
        <w:t>a été décommissionné le 1</w:t>
      </w:r>
      <w:r w:rsidRPr="00A47021">
        <w:rPr>
          <w:b/>
          <w:bCs/>
          <w:sz w:val="36"/>
          <w:szCs w:val="36"/>
          <w:vertAlign w:val="superscript"/>
        </w:rPr>
        <w:t>er</w:t>
      </w:r>
      <w:r w:rsidRPr="00A47021">
        <w:rPr>
          <w:b/>
          <w:bCs/>
          <w:sz w:val="36"/>
          <w:szCs w:val="36"/>
        </w:rPr>
        <w:t xml:space="preserve"> juillet 2025</w:t>
      </w:r>
    </w:p>
    <w:p w14:paraId="23159098" w14:textId="77777777" w:rsidR="00A47021" w:rsidRPr="00A47021" w:rsidRDefault="00A47021" w:rsidP="00A47021">
      <w:pPr>
        <w:ind w:left="851"/>
        <w:rPr>
          <w:b/>
          <w:bCs/>
          <w:sz w:val="28"/>
          <w:szCs w:val="28"/>
        </w:rPr>
      </w:pPr>
    </w:p>
    <w:p w14:paraId="58B1388A" w14:textId="77777777" w:rsidR="00A47021" w:rsidRPr="00A47021" w:rsidRDefault="00A47021" w:rsidP="00A47021">
      <w:pPr>
        <w:ind w:left="851"/>
        <w:rPr>
          <w:sz w:val="28"/>
          <w:szCs w:val="28"/>
        </w:rPr>
      </w:pPr>
      <w:r w:rsidRPr="00A47021">
        <w:rPr>
          <w:sz w:val="28"/>
          <w:szCs w:val="28"/>
        </w:rPr>
        <w:t>Les entreprises qui mettent sur le marché (mise à disposition, remise à des tiers et/ou importation) des nouvelles installations ou qui transforment des installations existantes fonctionnant avec des fluides réfrigérants stables dans l’air (climatisation, PAC, etc.) sont responsables du respect des réglementations de l’</w:t>
      </w:r>
      <w:proofErr w:type="spellStart"/>
      <w:r w:rsidRPr="00A47021">
        <w:rPr>
          <w:sz w:val="28"/>
          <w:szCs w:val="28"/>
        </w:rPr>
        <w:fldChar w:fldCharType="begin"/>
      </w:r>
      <w:r w:rsidRPr="00A47021">
        <w:rPr>
          <w:sz w:val="28"/>
          <w:szCs w:val="28"/>
        </w:rPr>
        <w:instrText>HYPERLINK "https://www.fedlex.admin.ch/eli/cc/2005/478/fr" \l "annex_2_10"</w:instrText>
      </w:r>
      <w:r w:rsidRPr="00A47021">
        <w:rPr>
          <w:sz w:val="28"/>
          <w:szCs w:val="28"/>
        </w:rPr>
      </w:r>
      <w:r w:rsidRPr="00A47021">
        <w:rPr>
          <w:sz w:val="28"/>
          <w:szCs w:val="28"/>
        </w:rPr>
        <w:fldChar w:fldCharType="separate"/>
      </w:r>
      <w:r w:rsidRPr="00A47021">
        <w:rPr>
          <w:rStyle w:val="Lienhypertexte"/>
          <w:sz w:val="28"/>
          <w:szCs w:val="28"/>
        </w:rPr>
        <w:t>ORRChim</w:t>
      </w:r>
      <w:proofErr w:type="spellEnd"/>
      <w:r w:rsidRPr="00A47021">
        <w:rPr>
          <w:rStyle w:val="Lienhypertexte"/>
          <w:sz w:val="28"/>
          <w:szCs w:val="28"/>
        </w:rPr>
        <w:t>, annexe 2.10</w:t>
      </w:r>
      <w:r w:rsidRPr="00A47021">
        <w:rPr>
          <w:sz w:val="28"/>
          <w:szCs w:val="28"/>
        </w:rPr>
        <w:fldChar w:fldCharType="end"/>
      </w:r>
      <w:r w:rsidRPr="00A47021">
        <w:rPr>
          <w:sz w:val="28"/>
          <w:szCs w:val="28"/>
        </w:rPr>
        <w:t xml:space="preserve">, en ce qui concerne notamment la puissance maximale autorisée, le type de fluide réfrigérant et la présence de fluides frigoporteurs et caloporteurs. Ces réglementations sont résumées dans une </w:t>
      </w:r>
      <w:hyperlink r:id="rId5" w:history="1">
        <w:r w:rsidRPr="00A47021">
          <w:rPr>
            <w:rStyle w:val="Lienhypertexte"/>
            <w:sz w:val="28"/>
            <w:szCs w:val="28"/>
          </w:rPr>
          <w:t>synthèse graphique</w:t>
        </w:r>
      </w:hyperlink>
      <w:r w:rsidRPr="00A47021">
        <w:rPr>
          <w:sz w:val="28"/>
          <w:szCs w:val="28"/>
        </w:rPr>
        <w:t xml:space="preserve"> (état au 1</w:t>
      </w:r>
      <w:r w:rsidRPr="00A47021">
        <w:rPr>
          <w:sz w:val="28"/>
          <w:szCs w:val="28"/>
          <w:vertAlign w:val="superscript"/>
        </w:rPr>
        <w:t>er</w:t>
      </w:r>
      <w:r w:rsidRPr="00A47021">
        <w:rPr>
          <w:sz w:val="28"/>
          <w:szCs w:val="28"/>
        </w:rPr>
        <w:t xml:space="preserve"> janvier 2025) et détaillées dans l’aide à l’exécution intitulée </w:t>
      </w:r>
      <w:r w:rsidRPr="00A47021">
        <w:rPr>
          <w:i/>
          <w:iCs/>
          <w:sz w:val="28"/>
          <w:szCs w:val="28"/>
        </w:rPr>
        <w:t xml:space="preserve">« </w:t>
      </w:r>
      <w:hyperlink r:id="rId6" w:history="1">
        <w:r w:rsidRPr="00A47021">
          <w:rPr>
            <w:rStyle w:val="Lienhypertexte"/>
            <w:i/>
            <w:iCs/>
            <w:sz w:val="28"/>
            <w:szCs w:val="28"/>
          </w:rPr>
          <w:t>Installations contenant des fluides frigorigènes : du concept à la mise sur le marché, 2022 </w:t>
        </w:r>
      </w:hyperlink>
      <w:r w:rsidRPr="00A47021">
        <w:rPr>
          <w:i/>
          <w:iCs/>
          <w:sz w:val="28"/>
          <w:szCs w:val="28"/>
        </w:rPr>
        <w:t>»</w:t>
      </w:r>
      <w:r w:rsidRPr="00A47021">
        <w:rPr>
          <w:sz w:val="28"/>
          <w:szCs w:val="28"/>
        </w:rPr>
        <w:t xml:space="preserve">, disponibles sur le </w:t>
      </w:r>
      <w:hyperlink r:id="rId7" w:anchor="-47174813" w:history="1">
        <w:r w:rsidRPr="00A47021">
          <w:rPr>
            <w:rStyle w:val="Lienhypertexte"/>
            <w:sz w:val="28"/>
            <w:szCs w:val="28"/>
          </w:rPr>
          <w:t>site</w:t>
        </w:r>
      </w:hyperlink>
      <w:r w:rsidRPr="00A47021">
        <w:rPr>
          <w:sz w:val="28"/>
          <w:szCs w:val="28"/>
        </w:rPr>
        <w:t xml:space="preserve"> internet de l’Office fédéral de l’environnement (OFEV).</w:t>
      </w:r>
    </w:p>
    <w:p w14:paraId="21D2EBBD" w14:textId="77777777" w:rsidR="00A47021" w:rsidRPr="00A47021" w:rsidRDefault="00A47021" w:rsidP="00A47021">
      <w:pPr>
        <w:ind w:left="851"/>
        <w:rPr>
          <w:sz w:val="28"/>
          <w:szCs w:val="28"/>
        </w:rPr>
      </w:pPr>
    </w:p>
    <w:p w14:paraId="33AA70D3" w14:textId="77777777" w:rsidR="00A47021" w:rsidRPr="00A47021" w:rsidRDefault="00A47021" w:rsidP="00A47021">
      <w:pPr>
        <w:ind w:left="851"/>
        <w:rPr>
          <w:sz w:val="28"/>
          <w:szCs w:val="28"/>
        </w:rPr>
      </w:pPr>
      <w:r w:rsidRPr="00A47021">
        <w:rPr>
          <w:sz w:val="28"/>
          <w:szCs w:val="28"/>
        </w:rPr>
        <w:t>Dans le cadre de son devoir de haute surveillance, la Direction générale de l’environnement (DGE) ne réalise plus de vérifications concernant le respect des réglementations relatives aux fluides réfrigérants stables dans l’air (</w:t>
      </w:r>
      <w:proofErr w:type="spellStart"/>
      <w:r w:rsidRPr="00A47021">
        <w:rPr>
          <w:sz w:val="28"/>
          <w:szCs w:val="28"/>
        </w:rPr>
        <w:t>ORRChim</w:t>
      </w:r>
      <w:proofErr w:type="spellEnd"/>
      <w:r w:rsidRPr="00A47021">
        <w:rPr>
          <w:sz w:val="28"/>
          <w:szCs w:val="28"/>
        </w:rPr>
        <w:t>, annexe 2.10) lors de la procédure de permis de construire. À la place, des contrôles aléatoires seront effectués directement sur site, qu’il s’agisse d’installations existantes ou récemment construites.</w:t>
      </w:r>
    </w:p>
    <w:p w14:paraId="2CB72D37" w14:textId="77777777" w:rsidR="00A47021" w:rsidRPr="00A47021" w:rsidRDefault="00A47021" w:rsidP="00A47021">
      <w:pPr>
        <w:ind w:left="851"/>
        <w:rPr>
          <w:b/>
          <w:bCs/>
          <w:sz w:val="28"/>
          <w:szCs w:val="28"/>
        </w:rPr>
      </w:pPr>
    </w:p>
    <w:p w14:paraId="1A9C2B9F" w14:textId="77777777" w:rsidR="00170801" w:rsidRPr="0017269D" w:rsidRDefault="00170801" w:rsidP="00170801">
      <w:pPr>
        <w:ind w:left="851"/>
        <w:rPr>
          <w:b/>
          <w:bCs/>
          <w:sz w:val="28"/>
          <w:szCs w:val="28"/>
        </w:rPr>
      </w:pPr>
    </w:p>
    <w:sectPr w:rsidR="00170801" w:rsidRPr="0017269D" w:rsidSect="00C1088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1"/>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23A"/>
    <w:rsid w:val="00134C2A"/>
    <w:rsid w:val="00170801"/>
    <w:rsid w:val="0017269D"/>
    <w:rsid w:val="00236D27"/>
    <w:rsid w:val="00253019"/>
    <w:rsid w:val="00287114"/>
    <w:rsid w:val="00415240"/>
    <w:rsid w:val="004C5354"/>
    <w:rsid w:val="005D7E25"/>
    <w:rsid w:val="006345D9"/>
    <w:rsid w:val="006B005E"/>
    <w:rsid w:val="006D6B72"/>
    <w:rsid w:val="007F1791"/>
    <w:rsid w:val="008757D4"/>
    <w:rsid w:val="008D0E5C"/>
    <w:rsid w:val="009440CD"/>
    <w:rsid w:val="00983F5E"/>
    <w:rsid w:val="00A47021"/>
    <w:rsid w:val="00A8099A"/>
    <w:rsid w:val="00AB1E23"/>
    <w:rsid w:val="00AF2E62"/>
    <w:rsid w:val="00B0299D"/>
    <w:rsid w:val="00B255B5"/>
    <w:rsid w:val="00BD3567"/>
    <w:rsid w:val="00C10884"/>
    <w:rsid w:val="00C41CE0"/>
    <w:rsid w:val="00C4423A"/>
    <w:rsid w:val="00D0580A"/>
    <w:rsid w:val="00EC6C12"/>
    <w:rsid w:val="00EC715C"/>
    <w:rsid w:val="00F043E3"/>
    <w:rsid w:val="00F1638D"/>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BE01B2"/>
  <w15:chartTrackingRefBased/>
  <w15:docId w15:val="{D337726A-55CF-4B9E-87E4-2DABF318A9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H"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423A"/>
    <w:pPr>
      <w:spacing w:after="0" w:line="240" w:lineRule="auto"/>
    </w:pPr>
    <w:rPr>
      <w:rFonts w:ascii="Calibri" w:hAnsi="Calibri" w:cs="Calibri"/>
      <w:kern w:val="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ev">
    <w:name w:val="Strong"/>
    <w:basedOn w:val="Policepardfaut"/>
    <w:uiPriority w:val="22"/>
    <w:qFormat/>
    <w:rsid w:val="00C4423A"/>
    <w:rPr>
      <w:b/>
      <w:bCs/>
    </w:rPr>
  </w:style>
  <w:style w:type="character" w:customStyle="1" w:styleId="info">
    <w:name w:val="info"/>
    <w:basedOn w:val="Policepardfaut"/>
    <w:rsid w:val="00C4423A"/>
  </w:style>
  <w:style w:type="character" w:styleId="Lienhypertexte">
    <w:name w:val="Hyperlink"/>
    <w:basedOn w:val="Policepardfaut"/>
    <w:uiPriority w:val="99"/>
    <w:unhideWhenUsed/>
    <w:rsid w:val="00134C2A"/>
    <w:rPr>
      <w:color w:val="0000FF"/>
      <w:u w:val="single"/>
    </w:rPr>
  </w:style>
  <w:style w:type="table" w:styleId="Grilledutableau">
    <w:name w:val="Table Grid"/>
    <w:basedOn w:val="TableauNormal"/>
    <w:uiPriority w:val="39"/>
    <w:rsid w:val="00236D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9440CD"/>
    <w:rPr>
      <w:color w:val="605E5C"/>
      <w:shd w:val="clear" w:color="auto" w:fill="E1DFDD"/>
    </w:rPr>
  </w:style>
  <w:style w:type="character" w:styleId="Lienhypertextesuivivisit">
    <w:name w:val="FollowedHyperlink"/>
    <w:basedOn w:val="Policepardfaut"/>
    <w:uiPriority w:val="99"/>
    <w:semiHidden/>
    <w:unhideWhenUsed/>
    <w:rsid w:val="00A809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466085">
      <w:bodyDiv w:val="1"/>
      <w:marLeft w:val="0"/>
      <w:marRight w:val="0"/>
      <w:marTop w:val="0"/>
      <w:marBottom w:val="0"/>
      <w:divBdr>
        <w:top w:val="none" w:sz="0" w:space="0" w:color="auto"/>
        <w:left w:val="none" w:sz="0" w:space="0" w:color="auto"/>
        <w:bottom w:val="none" w:sz="0" w:space="0" w:color="auto"/>
        <w:right w:val="none" w:sz="0" w:space="0" w:color="auto"/>
      </w:divBdr>
    </w:div>
    <w:div w:id="472602056">
      <w:bodyDiv w:val="1"/>
      <w:marLeft w:val="0"/>
      <w:marRight w:val="0"/>
      <w:marTop w:val="0"/>
      <w:marBottom w:val="0"/>
      <w:divBdr>
        <w:top w:val="none" w:sz="0" w:space="0" w:color="auto"/>
        <w:left w:val="none" w:sz="0" w:space="0" w:color="auto"/>
        <w:bottom w:val="none" w:sz="0" w:space="0" w:color="auto"/>
        <w:right w:val="none" w:sz="0" w:space="0" w:color="auto"/>
      </w:divBdr>
    </w:div>
    <w:div w:id="510222896">
      <w:bodyDiv w:val="1"/>
      <w:marLeft w:val="0"/>
      <w:marRight w:val="0"/>
      <w:marTop w:val="0"/>
      <w:marBottom w:val="0"/>
      <w:divBdr>
        <w:top w:val="none" w:sz="0" w:space="0" w:color="auto"/>
        <w:left w:val="none" w:sz="0" w:space="0" w:color="auto"/>
        <w:bottom w:val="none" w:sz="0" w:space="0" w:color="auto"/>
        <w:right w:val="none" w:sz="0" w:space="0" w:color="auto"/>
      </w:divBdr>
    </w:div>
    <w:div w:id="901332163">
      <w:bodyDiv w:val="1"/>
      <w:marLeft w:val="0"/>
      <w:marRight w:val="0"/>
      <w:marTop w:val="0"/>
      <w:marBottom w:val="0"/>
      <w:divBdr>
        <w:top w:val="none" w:sz="0" w:space="0" w:color="auto"/>
        <w:left w:val="none" w:sz="0" w:space="0" w:color="auto"/>
        <w:bottom w:val="none" w:sz="0" w:space="0" w:color="auto"/>
        <w:right w:val="none" w:sz="0" w:space="0" w:color="auto"/>
      </w:divBdr>
    </w:div>
    <w:div w:id="941915918">
      <w:bodyDiv w:val="1"/>
      <w:marLeft w:val="0"/>
      <w:marRight w:val="0"/>
      <w:marTop w:val="0"/>
      <w:marBottom w:val="0"/>
      <w:divBdr>
        <w:top w:val="none" w:sz="0" w:space="0" w:color="auto"/>
        <w:left w:val="none" w:sz="0" w:space="0" w:color="auto"/>
        <w:bottom w:val="none" w:sz="0" w:space="0" w:color="auto"/>
        <w:right w:val="none" w:sz="0" w:space="0" w:color="auto"/>
      </w:divBdr>
    </w:div>
    <w:div w:id="1083144985">
      <w:bodyDiv w:val="1"/>
      <w:marLeft w:val="0"/>
      <w:marRight w:val="0"/>
      <w:marTop w:val="0"/>
      <w:marBottom w:val="0"/>
      <w:divBdr>
        <w:top w:val="none" w:sz="0" w:space="0" w:color="auto"/>
        <w:left w:val="none" w:sz="0" w:space="0" w:color="auto"/>
        <w:bottom w:val="none" w:sz="0" w:space="0" w:color="auto"/>
        <w:right w:val="none" w:sz="0" w:space="0" w:color="auto"/>
      </w:divBdr>
    </w:div>
    <w:div w:id="1281230712">
      <w:bodyDiv w:val="1"/>
      <w:marLeft w:val="0"/>
      <w:marRight w:val="0"/>
      <w:marTop w:val="0"/>
      <w:marBottom w:val="0"/>
      <w:divBdr>
        <w:top w:val="none" w:sz="0" w:space="0" w:color="auto"/>
        <w:left w:val="none" w:sz="0" w:space="0" w:color="auto"/>
        <w:bottom w:val="none" w:sz="0" w:space="0" w:color="auto"/>
        <w:right w:val="none" w:sz="0" w:space="0" w:color="auto"/>
      </w:divBdr>
    </w:div>
    <w:div w:id="1777946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afu.admin.ch/bafu/fr/home/themes/produits-chimiques/prescriptions-pour-certains-emplois/fluides-frigorigenes.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afu.admin.ch/dam/bafu/fr/dokumente/chemikalien/uv-umwelt-vollzug/anlagen-kaeltemittel-inverkehrbringen-2023.pdf.download.pdf/UV-1726-F_Kaelteanlagen-Inverkehrbringen_2022.pdf" TargetMode="External"/><Relationship Id="rId5" Type="http://schemas.openxmlformats.org/officeDocument/2006/relationships/hyperlink" Target="https://www.bafu.admin.ch/dam/bafu/fr/dokumente/chemikalien/fachinfo-daten/regelung_kaelteanlagen_grafische_zusammenfassung_de_januar_25.pdf.download.pdf/Regelung%20K%C3%A4lteanlagen%20-%20Grafische%20Zusammenfassung_FR_Januar_2025.pdf"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1972</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Etat de Vaud</Company>
  <LinksUpToDate>false</LinksUpToDate>
  <CharactersWithSpaces>2326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Harnisch Anne</dc:creator>
  <cp:keywords/>
  <dc:description/>
  <cp:lastModifiedBy>Olivier Di Giambattista</cp:lastModifiedBy>
  <cp:revision>2</cp:revision>
  <dcterms:created xsi:type="dcterms:W3CDTF">2025-08-20T15:41:00Z</dcterms:created>
  <dcterms:modified xsi:type="dcterms:W3CDTF">2025-08-20T15:41:00Z</dcterms:modified>
</cp:coreProperties>
</file>